
<file path=[Content_Types].xml><?xml version="1.0" encoding="utf-8"?>
<Types xmlns="http://schemas.openxmlformats.org/package/2006/content-types">
  <Default Extension="json" ContentType="application/vnd.baytech.document-metadata+js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.baytech.com.au/ooxml/rels/document-metadata" Target="baytech/document-metadata.json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260AD" w14:textId="77777777" w:rsidR="007F6D50" w:rsidRPr="00A574A0" w:rsidRDefault="00950EBC" w:rsidP="00A574A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574A0">
        <w:rPr>
          <w:rFonts w:ascii="Arial" w:hAnsi="Arial" w:cs="Arial"/>
          <w:bCs/>
          <w:spacing w:val="-3"/>
          <w:sz w:val="22"/>
          <w:szCs w:val="22"/>
        </w:rPr>
        <w:t>The hydrogen industry has been identified by the Queensland Government as a key economic priority due to the state’s potential as a global supplier</w:t>
      </w:r>
      <w:r w:rsidR="00032943" w:rsidRPr="00A574A0">
        <w:rPr>
          <w:rFonts w:ascii="Arial" w:hAnsi="Arial" w:cs="Arial"/>
          <w:bCs/>
          <w:spacing w:val="-3"/>
          <w:sz w:val="22"/>
          <w:szCs w:val="22"/>
        </w:rPr>
        <w:t xml:space="preserve"> and </w:t>
      </w:r>
      <w:r w:rsidRPr="00A574A0">
        <w:rPr>
          <w:rFonts w:ascii="Arial" w:hAnsi="Arial" w:cs="Arial"/>
          <w:bCs/>
          <w:spacing w:val="-3"/>
          <w:sz w:val="22"/>
          <w:szCs w:val="22"/>
        </w:rPr>
        <w:t>the industry’s relevance to the shift to a low carbon economy.</w:t>
      </w:r>
    </w:p>
    <w:p w14:paraId="2B5383EC" w14:textId="77777777" w:rsidR="008B65C4" w:rsidRPr="00A574A0" w:rsidRDefault="00950EBC" w:rsidP="00A574A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574A0">
        <w:rPr>
          <w:rFonts w:ascii="Arial" w:hAnsi="Arial" w:cs="Arial"/>
          <w:bCs/>
          <w:spacing w:val="-3"/>
          <w:sz w:val="22"/>
          <w:szCs w:val="22"/>
        </w:rPr>
        <w:t>The successful development of Queensland’s hydrogen industry will require</w:t>
      </w:r>
      <w:r w:rsidR="000F7620" w:rsidRPr="00A574A0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94769C" w:rsidRPr="00A574A0">
        <w:rPr>
          <w:rFonts w:ascii="Arial" w:hAnsi="Arial" w:cs="Arial"/>
          <w:bCs/>
          <w:spacing w:val="-3"/>
          <w:sz w:val="22"/>
          <w:szCs w:val="22"/>
        </w:rPr>
        <w:t xml:space="preserve">a </w:t>
      </w:r>
      <w:r w:rsidR="000F7620" w:rsidRPr="00A574A0">
        <w:rPr>
          <w:rFonts w:ascii="Arial" w:hAnsi="Arial" w:cs="Arial"/>
          <w:bCs/>
          <w:spacing w:val="-3"/>
          <w:sz w:val="22"/>
          <w:szCs w:val="22"/>
        </w:rPr>
        <w:t>skill</w:t>
      </w:r>
      <w:r w:rsidR="0094769C" w:rsidRPr="00A574A0">
        <w:rPr>
          <w:rFonts w:ascii="Arial" w:hAnsi="Arial" w:cs="Arial"/>
          <w:bCs/>
          <w:spacing w:val="-3"/>
          <w:sz w:val="22"/>
          <w:szCs w:val="22"/>
        </w:rPr>
        <w:t xml:space="preserve">ed, </w:t>
      </w:r>
      <w:r w:rsidRPr="00A574A0">
        <w:rPr>
          <w:rFonts w:ascii="Arial" w:hAnsi="Arial" w:cs="Arial"/>
          <w:bCs/>
          <w:spacing w:val="-3"/>
          <w:sz w:val="22"/>
          <w:szCs w:val="22"/>
        </w:rPr>
        <w:t>hydrogen-ready workforce</w:t>
      </w:r>
      <w:r w:rsidR="0030140C" w:rsidRPr="00A574A0">
        <w:rPr>
          <w:rFonts w:ascii="Arial" w:hAnsi="Arial" w:cs="Arial"/>
          <w:bCs/>
          <w:spacing w:val="-3"/>
          <w:sz w:val="22"/>
          <w:szCs w:val="22"/>
        </w:rPr>
        <w:t xml:space="preserve"> supported by quality training pathways.</w:t>
      </w:r>
    </w:p>
    <w:p w14:paraId="3DF8BB9E" w14:textId="77777777" w:rsidR="003051D3" w:rsidRPr="00A574A0" w:rsidRDefault="00950EBC" w:rsidP="00A574A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574A0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A574A0">
        <w:rPr>
          <w:rFonts w:ascii="Arial" w:hAnsi="Arial" w:cs="Arial"/>
          <w:bCs/>
          <w:i/>
          <w:iCs/>
          <w:spacing w:val="-3"/>
          <w:sz w:val="22"/>
          <w:szCs w:val="22"/>
        </w:rPr>
        <w:t>Hydrogen Industry Workforce Development Roadmap</w:t>
      </w:r>
      <w:r w:rsidR="00EB625B" w:rsidRPr="00A574A0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 2022-2032</w:t>
      </w:r>
      <w:r w:rsidRPr="00A574A0">
        <w:rPr>
          <w:rFonts w:ascii="Arial" w:hAnsi="Arial" w:cs="Arial"/>
          <w:bCs/>
          <w:spacing w:val="-3"/>
          <w:sz w:val="22"/>
          <w:szCs w:val="22"/>
        </w:rPr>
        <w:t xml:space="preserve"> (Roadmap) sets a path to achieving a clear vision: ‘A strong and adaptable workforce for a safe and thriving Queensland hydrogen industry’.</w:t>
      </w:r>
    </w:p>
    <w:p w14:paraId="0A426FCC" w14:textId="77777777" w:rsidR="00032943" w:rsidRPr="00A574A0" w:rsidRDefault="00950EBC" w:rsidP="00A574A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574A0">
        <w:rPr>
          <w:rFonts w:ascii="Arial" w:hAnsi="Arial" w:cs="Arial"/>
          <w:bCs/>
          <w:spacing w:val="-3"/>
          <w:sz w:val="22"/>
          <w:szCs w:val="22"/>
        </w:rPr>
        <w:t>The Roadmap has been developed in consultation with a broad range of industry stakeholders from across Queensland, including multi-national hydrogen proponents, public and private skills and training providers</w:t>
      </w:r>
      <w:r w:rsidR="000F7620" w:rsidRPr="00A574A0">
        <w:rPr>
          <w:rFonts w:ascii="Arial" w:hAnsi="Arial" w:cs="Arial"/>
          <w:bCs/>
          <w:spacing w:val="-3"/>
          <w:sz w:val="22"/>
          <w:szCs w:val="22"/>
        </w:rPr>
        <w:t xml:space="preserve"> (including TAFE Queensland)</w:t>
      </w:r>
      <w:r w:rsidRPr="00A574A0">
        <w:rPr>
          <w:rFonts w:ascii="Arial" w:hAnsi="Arial" w:cs="Arial"/>
          <w:bCs/>
          <w:spacing w:val="-3"/>
          <w:sz w:val="22"/>
          <w:szCs w:val="22"/>
        </w:rPr>
        <w:t xml:space="preserve"> and professional bodies, regional economic groups and hydrogen clusters, unions and universities.</w:t>
      </w:r>
    </w:p>
    <w:p w14:paraId="31C79EF5" w14:textId="77777777" w:rsidR="00201272" w:rsidRPr="00A574A0" w:rsidRDefault="00950EBC" w:rsidP="00A574A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574A0">
        <w:rPr>
          <w:rFonts w:ascii="Arial" w:hAnsi="Arial" w:cs="Arial"/>
          <w:bCs/>
          <w:spacing w:val="-3"/>
          <w:sz w:val="22"/>
          <w:szCs w:val="22"/>
        </w:rPr>
        <w:t>Government and industry</w:t>
      </w:r>
      <w:r w:rsidR="00376B40" w:rsidRPr="00A574A0">
        <w:rPr>
          <w:rFonts w:ascii="Arial" w:hAnsi="Arial" w:cs="Arial"/>
          <w:bCs/>
          <w:spacing w:val="-3"/>
          <w:sz w:val="22"/>
          <w:szCs w:val="22"/>
        </w:rPr>
        <w:t xml:space="preserve"> will work together to deliver the </w:t>
      </w:r>
      <w:r w:rsidR="00BC79DE" w:rsidRPr="00A574A0">
        <w:rPr>
          <w:rFonts w:ascii="Arial" w:hAnsi="Arial" w:cs="Arial"/>
          <w:bCs/>
          <w:spacing w:val="-3"/>
          <w:sz w:val="22"/>
          <w:szCs w:val="22"/>
        </w:rPr>
        <w:t>actions in the Roadmap t</w:t>
      </w:r>
      <w:r w:rsidR="004B48F3" w:rsidRPr="00A574A0">
        <w:rPr>
          <w:rFonts w:ascii="Arial" w:hAnsi="Arial" w:cs="Arial"/>
          <w:bCs/>
          <w:spacing w:val="-3"/>
          <w:sz w:val="22"/>
          <w:szCs w:val="22"/>
        </w:rPr>
        <w:t xml:space="preserve">o meet the </w:t>
      </w:r>
      <w:r w:rsidR="003E5CB9" w:rsidRPr="00A574A0">
        <w:rPr>
          <w:rFonts w:ascii="Arial" w:hAnsi="Arial" w:cs="Arial"/>
          <w:bCs/>
          <w:spacing w:val="-3"/>
          <w:sz w:val="22"/>
          <w:szCs w:val="22"/>
        </w:rPr>
        <w:t xml:space="preserve">workforce development and </w:t>
      </w:r>
      <w:r w:rsidR="004B48F3" w:rsidRPr="00A574A0">
        <w:rPr>
          <w:rFonts w:ascii="Arial" w:hAnsi="Arial" w:cs="Arial"/>
          <w:bCs/>
          <w:spacing w:val="-3"/>
          <w:sz w:val="22"/>
          <w:szCs w:val="22"/>
        </w:rPr>
        <w:t>skills</w:t>
      </w:r>
      <w:r w:rsidR="003E5CB9" w:rsidRPr="00A574A0">
        <w:rPr>
          <w:rFonts w:ascii="Arial" w:hAnsi="Arial" w:cs="Arial"/>
          <w:bCs/>
          <w:spacing w:val="-3"/>
          <w:sz w:val="22"/>
          <w:szCs w:val="22"/>
        </w:rPr>
        <w:t xml:space="preserve"> and training</w:t>
      </w:r>
      <w:r w:rsidR="004B48F3" w:rsidRPr="00A574A0">
        <w:rPr>
          <w:rFonts w:ascii="Arial" w:hAnsi="Arial" w:cs="Arial"/>
          <w:bCs/>
          <w:spacing w:val="-3"/>
          <w:sz w:val="22"/>
          <w:szCs w:val="22"/>
        </w:rPr>
        <w:t xml:space="preserve"> needs of the hydrogen industry and ensure Queenslanders</w:t>
      </w:r>
      <w:r w:rsidR="001500DC" w:rsidRPr="00A574A0">
        <w:rPr>
          <w:rFonts w:ascii="Arial" w:hAnsi="Arial" w:cs="Arial"/>
          <w:bCs/>
          <w:spacing w:val="-3"/>
          <w:sz w:val="22"/>
          <w:szCs w:val="22"/>
        </w:rPr>
        <w:t xml:space="preserve"> benefit from the </w:t>
      </w:r>
      <w:r w:rsidR="003E5CB9" w:rsidRPr="00A574A0">
        <w:rPr>
          <w:rFonts w:ascii="Arial" w:hAnsi="Arial" w:cs="Arial"/>
          <w:bCs/>
          <w:spacing w:val="-3"/>
          <w:sz w:val="22"/>
          <w:szCs w:val="22"/>
        </w:rPr>
        <w:t xml:space="preserve">economic </w:t>
      </w:r>
      <w:r w:rsidR="001500DC" w:rsidRPr="00A574A0">
        <w:rPr>
          <w:rFonts w:ascii="Arial" w:hAnsi="Arial" w:cs="Arial"/>
          <w:bCs/>
          <w:spacing w:val="-3"/>
          <w:sz w:val="22"/>
          <w:szCs w:val="22"/>
        </w:rPr>
        <w:t xml:space="preserve">opportunities that the industry provides. </w:t>
      </w:r>
    </w:p>
    <w:p w14:paraId="5229D92C" w14:textId="223863CA" w:rsidR="00BC6952" w:rsidRPr="00A574A0" w:rsidRDefault="00950EBC" w:rsidP="00A574A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574A0">
        <w:rPr>
          <w:rFonts w:ascii="Arial" w:hAnsi="Arial" w:cs="Arial"/>
          <w:sz w:val="22"/>
          <w:szCs w:val="22"/>
          <w:u w:val="single"/>
        </w:rPr>
        <w:t>Cabinet approved</w:t>
      </w:r>
      <w:r w:rsidR="00382AAA" w:rsidRPr="00A574A0">
        <w:rPr>
          <w:rFonts w:ascii="Arial" w:hAnsi="Arial" w:cs="Arial"/>
          <w:sz w:val="22"/>
          <w:szCs w:val="22"/>
        </w:rPr>
        <w:t xml:space="preserve"> the </w:t>
      </w:r>
      <w:r w:rsidR="00382AAA" w:rsidRPr="00A574A0">
        <w:rPr>
          <w:rFonts w:ascii="Arial" w:hAnsi="Arial" w:cs="Arial"/>
          <w:i/>
          <w:iCs/>
          <w:sz w:val="22"/>
          <w:szCs w:val="22"/>
        </w:rPr>
        <w:t>Hydrogen Industry Workforce Development Roadmap 2022-</w:t>
      </w:r>
      <w:r w:rsidR="003E5CB9" w:rsidRPr="00A574A0">
        <w:rPr>
          <w:rFonts w:ascii="Arial" w:hAnsi="Arial" w:cs="Arial"/>
          <w:i/>
          <w:iCs/>
          <w:sz w:val="22"/>
          <w:szCs w:val="22"/>
        </w:rPr>
        <w:t>20</w:t>
      </w:r>
      <w:r w:rsidR="00382AAA" w:rsidRPr="00A574A0">
        <w:rPr>
          <w:rFonts w:ascii="Arial" w:hAnsi="Arial" w:cs="Arial"/>
          <w:i/>
          <w:iCs/>
          <w:sz w:val="22"/>
          <w:szCs w:val="22"/>
        </w:rPr>
        <w:t>3</w:t>
      </w:r>
      <w:r w:rsidR="00E349D3" w:rsidRPr="00A574A0">
        <w:rPr>
          <w:rFonts w:ascii="Arial" w:hAnsi="Arial" w:cs="Arial"/>
          <w:i/>
          <w:iCs/>
          <w:sz w:val="22"/>
          <w:szCs w:val="22"/>
        </w:rPr>
        <w:t>2</w:t>
      </w:r>
      <w:r w:rsidR="00382AAA" w:rsidRPr="00A574A0">
        <w:rPr>
          <w:rFonts w:ascii="Arial" w:hAnsi="Arial" w:cs="Arial"/>
          <w:sz w:val="22"/>
          <w:szCs w:val="22"/>
        </w:rPr>
        <w:t xml:space="preserve"> and its public release</w:t>
      </w:r>
      <w:r w:rsidRPr="00A574A0">
        <w:rPr>
          <w:rFonts w:ascii="Arial" w:hAnsi="Arial" w:cs="Arial"/>
          <w:sz w:val="22"/>
          <w:szCs w:val="22"/>
        </w:rPr>
        <w:t>.</w:t>
      </w:r>
    </w:p>
    <w:p w14:paraId="2A7D415B" w14:textId="03DD8631" w:rsidR="00BC6952" w:rsidRPr="00A574A0" w:rsidRDefault="00950EBC" w:rsidP="00A574A0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A574A0">
        <w:rPr>
          <w:rFonts w:ascii="Arial" w:hAnsi="Arial" w:cs="Arial"/>
          <w:i/>
          <w:sz w:val="22"/>
          <w:szCs w:val="22"/>
          <w:u w:val="single"/>
        </w:rPr>
        <w:t>Attachments</w:t>
      </w:r>
      <w:r w:rsidR="0015071B" w:rsidRPr="00A574A0">
        <w:rPr>
          <w:rFonts w:ascii="Arial" w:hAnsi="Arial" w:cs="Arial"/>
          <w:iCs/>
          <w:sz w:val="22"/>
          <w:szCs w:val="22"/>
        </w:rPr>
        <w:t>:</w:t>
      </w:r>
    </w:p>
    <w:p w14:paraId="224107C4" w14:textId="76B07972" w:rsidR="00BC6952" w:rsidRPr="00A574A0" w:rsidRDefault="00F05D13" w:rsidP="007F6D50">
      <w:pPr>
        <w:numPr>
          <w:ilvl w:val="0"/>
          <w:numId w:val="2"/>
        </w:numPr>
        <w:spacing w:before="120"/>
        <w:ind w:left="811"/>
        <w:jc w:val="both"/>
        <w:rPr>
          <w:rStyle w:val="Hyperlink"/>
          <w:rFonts w:ascii="Arial" w:hAnsi="Arial" w:cs="Arial"/>
          <w:sz w:val="22"/>
          <w:szCs w:val="22"/>
        </w:rPr>
      </w:pPr>
      <w:hyperlink r:id="rId10" w:history="1">
        <w:r w:rsidR="00DC21AC" w:rsidRPr="00313F13">
          <w:rPr>
            <w:rStyle w:val="Hyperlink"/>
            <w:rFonts w:ascii="Arial" w:hAnsi="Arial" w:cs="Arial"/>
            <w:i/>
            <w:iCs/>
            <w:sz w:val="22"/>
            <w:szCs w:val="22"/>
          </w:rPr>
          <w:t>Hydrogen Industry Workforce Development Roadmap</w:t>
        </w:r>
        <w:r w:rsidR="003E5CB9" w:rsidRPr="00313F13">
          <w:rPr>
            <w:rStyle w:val="Hyperlink"/>
            <w:rFonts w:ascii="Arial" w:hAnsi="Arial" w:cs="Arial"/>
            <w:i/>
            <w:iCs/>
            <w:sz w:val="22"/>
            <w:szCs w:val="22"/>
          </w:rPr>
          <w:t xml:space="preserve"> 2022-203</w:t>
        </w:r>
        <w:r w:rsidR="00950EBC" w:rsidRPr="00313F13">
          <w:rPr>
            <w:rStyle w:val="Hyperlink"/>
            <w:rFonts w:ascii="Arial" w:hAnsi="Arial" w:cs="Arial"/>
            <w:i/>
            <w:iCs/>
            <w:sz w:val="22"/>
            <w:szCs w:val="22"/>
          </w:rPr>
          <w:t>2</w:t>
        </w:r>
      </w:hyperlink>
    </w:p>
    <w:sectPr w:rsidR="00BC6952" w:rsidRPr="00A574A0" w:rsidSect="0015071B">
      <w:headerReference w:type="default" r:id="rId11"/>
      <w:pgSz w:w="11906" w:h="16838" w:code="9"/>
      <w:pgMar w:top="1138" w:right="1138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AD27A" w14:textId="77777777" w:rsidR="00000C52" w:rsidRDefault="00000C52">
      <w:r>
        <w:separator/>
      </w:r>
    </w:p>
  </w:endnote>
  <w:endnote w:type="continuationSeparator" w:id="0">
    <w:p w14:paraId="46265F2B" w14:textId="77777777" w:rsidR="00000C52" w:rsidRDefault="00000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FDBB6" w14:textId="77777777" w:rsidR="00000C52" w:rsidRDefault="00000C52">
      <w:r>
        <w:separator/>
      </w:r>
    </w:p>
  </w:footnote>
  <w:footnote w:type="continuationSeparator" w:id="0">
    <w:p w14:paraId="269067A8" w14:textId="77777777" w:rsidR="00000C52" w:rsidRDefault="00000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9A8D2" w14:textId="64D946C6" w:rsidR="00950178" w:rsidRPr="00D75134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743E68E3" w14:textId="77777777" w:rsidR="00950178" w:rsidRPr="00D75134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194ABC30" w14:textId="77777777" w:rsidR="00950178" w:rsidRPr="001E209B" w:rsidRDefault="00950EBC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D32FA2">
      <w:rPr>
        <w:rFonts w:ascii="Arial" w:hAnsi="Arial" w:cs="Arial"/>
        <w:b/>
        <w:sz w:val="22"/>
        <w:szCs w:val="22"/>
      </w:rPr>
      <w:t>July</w:t>
    </w:r>
    <w:r w:rsidR="00E75006">
      <w:rPr>
        <w:rFonts w:ascii="Arial" w:hAnsi="Arial" w:cs="Arial"/>
        <w:b/>
        <w:sz w:val="22"/>
        <w:szCs w:val="22"/>
      </w:rPr>
      <w:t xml:space="preserve"> </w:t>
    </w:r>
    <w:r w:rsidR="000015FF">
      <w:rPr>
        <w:rFonts w:ascii="Arial" w:hAnsi="Arial" w:cs="Arial"/>
        <w:b/>
        <w:sz w:val="22"/>
        <w:szCs w:val="22"/>
      </w:rPr>
      <w:t>2022</w:t>
    </w:r>
  </w:p>
  <w:p w14:paraId="63222A51" w14:textId="77777777" w:rsidR="00950178" w:rsidRDefault="00950EBC" w:rsidP="00A574A0">
    <w:pPr>
      <w:pStyle w:val="Header"/>
      <w:tabs>
        <w:tab w:val="clear" w:pos="4513"/>
        <w:tab w:val="clear" w:pos="9026"/>
      </w:tabs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Release of the </w:t>
    </w:r>
    <w:r w:rsidRPr="00800D13">
      <w:rPr>
        <w:rFonts w:ascii="Arial" w:hAnsi="Arial" w:cs="Arial"/>
        <w:b/>
        <w:i/>
        <w:iCs/>
        <w:sz w:val="22"/>
        <w:szCs w:val="22"/>
        <w:u w:val="single"/>
      </w:rPr>
      <w:t xml:space="preserve">Hydrogen </w:t>
    </w:r>
    <w:r w:rsidR="00800D13" w:rsidRPr="00800D13">
      <w:rPr>
        <w:rFonts w:ascii="Arial" w:hAnsi="Arial" w:cs="Arial"/>
        <w:b/>
        <w:i/>
        <w:iCs/>
        <w:sz w:val="22"/>
        <w:szCs w:val="22"/>
        <w:u w:val="single"/>
      </w:rPr>
      <w:t>Industry Workforce Development Roadmap</w:t>
    </w:r>
    <w:r w:rsidR="00EB625B">
      <w:rPr>
        <w:rFonts w:ascii="Arial" w:hAnsi="Arial" w:cs="Arial"/>
        <w:b/>
        <w:i/>
        <w:iCs/>
        <w:sz w:val="22"/>
        <w:szCs w:val="22"/>
        <w:u w:val="single"/>
      </w:rPr>
      <w:t xml:space="preserve"> 2022-2032</w:t>
    </w:r>
  </w:p>
  <w:p w14:paraId="30BE5E10" w14:textId="77777777" w:rsidR="00950178" w:rsidRDefault="00950EBC" w:rsidP="00A574A0">
    <w:pPr>
      <w:pStyle w:val="Header"/>
      <w:tabs>
        <w:tab w:val="clear" w:pos="4513"/>
        <w:tab w:val="clear" w:pos="9026"/>
      </w:tabs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791A9C">
      <w:rPr>
        <w:rFonts w:ascii="Arial" w:hAnsi="Arial" w:cs="Arial"/>
        <w:b/>
        <w:sz w:val="22"/>
        <w:szCs w:val="22"/>
        <w:u w:val="single"/>
      </w:rPr>
      <w:t xml:space="preserve"> for </w:t>
    </w:r>
    <w:r w:rsidR="007F5F58">
      <w:rPr>
        <w:rFonts w:ascii="Arial" w:hAnsi="Arial" w:cs="Arial"/>
        <w:b/>
        <w:sz w:val="22"/>
        <w:szCs w:val="22"/>
        <w:u w:val="single"/>
      </w:rPr>
      <w:t xml:space="preserve">Employment and </w:t>
    </w:r>
    <w:r w:rsidR="00DD1068">
      <w:rPr>
        <w:rFonts w:ascii="Arial" w:hAnsi="Arial" w:cs="Arial"/>
        <w:b/>
        <w:sz w:val="22"/>
        <w:szCs w:val="22"/>
        <w:u w:val="single"/>
      </w:rPr>
      <w:t xml:space="preserve">Small Business and </w:t>
    </w:r>
    <w:r w:rsidR="007F5F58">
      <w:rPr>
        <w:rFonts w:ascii="Arial" w:hAnsi="Arial" w:cs="Arial"/>
        <w:b/>
        <w:sz w:val="22"/>
        <w:szCs w:val="22"/>
        <w:u w:val="single"/>
      </w:rPr>
      <w:t xml:space="preserve">Minister for </w:t>
    </w:r>
    <w:r w:rsidR="00DD1068">
      <w:rPr>
        <w:rFonts w:ascii="Arial" w:hAnsi="Arial" w:cs="Arial"/>
        <w:b/>
        <w:sz w:val="22"/>
        <w:szCs w:val="22"/>
        <w:u w:val="single"/>
      </w:rPr>
      <w:t>Training</w:t>
    </w:r>
    <w:r w:rsidR="007F5F58">
      <w:rPr>
        <w:rFonts w:ascii="Arial" w:hAnsi="Arial" w:cs="Arial"/>
        <w:b/>
        <w:sz w:val="22"/>
        <w:szCs w:val="22"/>
        <w:u w:val="single"/>
      </w:rPr>
      <w:t xml:space="preserve"> and Skills Development</w:t>
    </w:r>
  </w:p>
  <w:p w14:paraId="122B503A" w14:textId="77777777" w:rsidR="00964687" w:rsidRDefault="00950EBC" w:rsidP="00A574A0">
    <w:pPr>
      <w:pStyle w:val="Header"/>
      <w:tabs>
        <w:tab w:val="clear" w:pos="4513"/>
        <w:tab w:val="clear" w:pos="9026"/>
      </w:tabs>
      <w:jc w:val="both"/>
      <w:rPr>
        <w:rFonts w:ascii="Arial" w:hAnsi="Arial" w:cs="Arial"/>
        <w:b/>
        <w:sz w:val="22"/>
        <w:szCs w:val="22"/>
        <w:u w:val="single"/>
      </w:rPr>
    </w:pPr>
    <w:r w:rsidRPr="00964687">
      <w:rPr>
        <w:rFonts w:ascii="Arial" w:hAnsi="Arial" w:cs="Arial"/>
        <w:b/>
        <w:sz w:val="22"/>
        <w:szCs w:val="22"/>
        <w:u w:val="single"/>
      </w:rPr>
      <w:t>Minister for Energy, Renewables and Hydrogen and Minister for Public Works and Procurement</w:t>
    </w:r>
  </w:p>
  <w:p w14:paraId="22B16E54" w14:textId="77777777" w:rsidR="00950178" w:rsidRDefault="00950178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27D55"/>
    <w:multiLevelType w:val="hybridMultilevel"/>
    <w:tmpl w:val="E79E3230"/>
    <w:lvl w:ilvl="0" w:tplc="6546AA14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4D786D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EB445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D7863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BE9F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B46BE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1C4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3855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6E02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F176F87"/>
    <w:multiLevelType w:val="hybridMultilevel"/>
    <w:tmpl w:val="2396ACA6"/>
    <w:lvl w:ilvl="0" w:tplc="DAE2B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936401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529EF0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848A6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1188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1EE3F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8BEA9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CD446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B2871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95869900">
    <w:abstractNumId w:val="1"/>
  </w:num>
  <w:num w:numId="2" w16cid:durableId="1157310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F58"/>
    <w:rsid w:val="00000C52"/>
    <w:rsid w:val="000015FF"/>
    <w:rsid w:val="00032943"/>
    <w:rsid w:val="000430DD"/>
    <w:rsid w:val="00080F8F"/>
    <w:rsid w:val="000F7620"/>
    <w:rsid w:val="00140936"/>
    <w:rsid w:val="001500DC"/>
    <w:rsid w:val="0015071B"/>
    <w:rsid w:val="001B06AC"/>
    <w:rsid w:val="001E209B"/>
    <w:rsid w:val="00201272"/>
    <w:rsid w:val="0021344B"/>
    <w:rsid w:val="00252027"/>
    <w:rsid w:val="00280DCA"/>
    <w:rsid w:val="0030140C"/>
    <w:rsid w:val="003051D3"/>
    <w:rsid w:val="00313F13"/>
    <w:rsid w:val="00331B2C"/>
    <w:rsid w:val="00376B40"/>
    <w:rsid w:val="00382AAA"/>
    <w:rsid w:val="003B5871"/>
    <w:rsid w:val="003E5CB9"/>
    <w:rsid w:val="004A0896"/>
    <w:rsid w:val="004B48F3"/>
    <w:rsid w:val="004E3AE1"/>
    <w:rsid w:val="00501C66"/>
    <w:rsid w:val="00506D9D"/>
    <w:rsid w:val="0062613E"/>
    <w:rsid w:val="006A1978"/>
    <w:rsid w:val="006A2259"/>
    <w:rsid w:val="00732E22"/>
    <w:rsid w:val="00740EF5"/>
    <w:rsid w:val="00791A9C"/>
    <w:rsid w:val="007A6A33"/>
    <w:rsid w:val="007B49C8"/>
    <w:rsid w:val="007B7558"/>
    <w:rsid w:val="007C2BB2"/>
    <w:rsid w:val="007F5F58"/>
    <w:rsid w:val="007F6D50"/>
    <w:rsid w:val="00800D13"/>
    <w:rsid w:val="008A4523"/>
    <w:rsid w:val="008B65C4"/>
    <w:rsid w:val="008D7814"/>
    <w:rsid w:val="008F44CD"/>
    <w:rsid w:val="0094769C"/>
    <w:rsid w:val="00950178"/>
    <w:rsid w:val="00950EBC"/>
    <w:rsid w:val="00964687"/>
    <w:rsid w:val="00A527A5"/>
    <w:rsid w:val="00A574A0"/>
    <w:rsid w:val="00AB668F"/>
    <w:rsid w:val="00AC361D"/>
    <w:rsid w:val="00B55CCF"/>
    <w:rsid w:val="00BC6952"/>
    <w:rsid w:val="00BC79DE"/>
    <w:rsid w:val="00C07656"/>
    <w:rsid w:val="00C61E16"/>
    <w:rsid w:val="00CE6FBA"/>
    <w:rsid w:val="00CF0D8A"/>
    <w:rsid w:val="00D32FA2"/>
    <w:rsid w:val="00D6589B"/>
    <w:rsid w:val="00D75134"/>
    <w:rsid w:val="00DB6FE7"/>
    <w:rsid w:val="00DC21AC"/>
    <w:rsid w:val="00DD1068"/>
    <w:rsid w:val="00DD7361"/>
    <w:rsid w:val="00DE374B"/>
    <w:rsid w:val="00DE61EC"/>
    <w:rsid w:val="00E349D3"/>
    <w:rsid w:val="00E60831"/>
    <w:rsid w:val="00E75006"/>
    <w:rsid w:val="00E96FB8"/>
    <w:rsid w:val="00EB625B"/>
    <w:rsid w:val="00F05D13"/>
    <w:rsid w:val="00F10DF9"/>
    <w:rsid w:val="00F5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BAF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7B755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rsid w:val="007B75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E374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rsid w:val="00DE3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C:/Users/holleyr/DPC/DPC%20-%20CabSec%20-%20General/ProactiveRelease/ToBeProcessed/2022/Jul/HIWDRoadmap/Attachments/Roadmap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1.%20CABINET\TEMPLATES\ATFSSL\Proactive%20Release%20-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3e311de-a790-43ff-be63-577c26c7507c">
      <UserInfo>
        <DisplayName/>
        <AccountId xsi:nil="true"/>
        <AccountType/>
      </UserInfo>
    </SharedWithUsers>
    <TaxCatchAll xmlns="63e311de-a790-43ff-be63-577c26c7507c" xsi:nil="true"/>
    <lcf76f155ced4ddcb4097134ff3c332f xmlns="b8ed82f2-f7bd-423c-8698-5e132afe924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CC71C3-8312-4D53-AA20-BC3DDB7E1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C8BB64-09F4-4796-BC18-2801C3498AB9}">
  <ds:schemaRefs>
    <ds:schemaRef ds:uri="http://schemas.microsoft.com/office/2006/metadata/properties"/>
    <ds:schemaRef ds:uri="http://schemas.microsoft.com/office/infopath/2007/PartnerControls"/>
    <ds:schemaRef ds:uri="63e311de-a790-43ff-be63-577c26c7507c"/>
    <ds:schemaRef ds:uri="b8ed82f2-f7bd-423c-8698-5e132afe9245"/>
  </ds:schemaRefs>
</ds:datastoreItem>
</file>

<file path=customXml/itemProps3.xml><?xml version="1.0" encoding="utf-8"?>
<ds:datastoreItem xmlns:ds="http://schemas.openxmlformats.org/officeDocument/2006/customXml" ds:itemID="{640BE2CA-32EF-4733-9FF8-640AEC440A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- Template.dotm</Template>
  <TotalTime>25</TotalTime>
  <Pages>1</Pages>
  <Words>192</Words>
  <Characters>1170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MAXIMUM LENGTH ONE PAGE AND PREFERABLY SHORTER</vt:lpstr>
    </vt:vector>
  </TitlesOfParts>
  <Company/>
  <LinksUpToDate>false</LinksUpToDate>
  <CharactersWithSpaces>1356</CharactersWithSpaces>
  <SharedDoc>false</SharedDoc>
  <HyperlinkBase>https://www.cabinet.qld.gov.au/documents/2022/Jul/HIWDRoadmap/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10</cp:revision>
  <dcterms:created xsi:type="dcterms:W3CDTF">2022-07-12T04:56:00Z</dcterms:created>
  <dcterms:modified xsi:type="dcterms:W3CDTF">2022-12-22T06:18:00Z</dcterms:modified>
  <cp:category>Economic_Development,Employment,Industry_Development,Skills,Training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0x010100B077E6BE93758642B6124853E158D2A5</vt:lpwstr>
  </property>
  <property fmtid="{D5CDD505-2E9C-101B-9397-08002B2CF9AE}" pid="4" name="MediaServiceImageTags">
    <vt:lpwstr/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xd_ProgID">
    <vt:lpwstr/>
  </property>
  <property fmtid="{D5CDD505-2E9C-101B-9397-08002B2CF9AE}" pid="8" name="xd_Signature">
    <vt:bool>false</vt:bool>
  </property>
  <property fmtid="{D5CDD505-2E9C-101B-9397-08002B2CF9AE}" pid="9" name="_AdHocReviewCycleID">
    <vt:i4>-731068445</vt:i4>
  </property>
  <property fmtid="{D5CDD505-2E9C-101B-9397-08002B2CF9AE}" pid="10" name="_dlc_DocIdItemGuid">
    <vt:lpwstr>8702119c-b769-490f-a566-8d33f3d28b44</vt:lpwstr>
  </property>
  <property fmtid="{D5CDD505-2E9C-101B-9397-08002B2CF9AE}" pid="11" name="_ExtendedDescription">
    <vt:lpwstr/>
  </property>
  <property fmtid="{D5CDD505-2E9C-101B-9397-08002B2CF9AE}" pid="12" name="_NewReviewCycle">
    <vt:lpwstr/>
  </property>
  <property fmtid="{D5CDD505-2E9C-101B-9397-08002B2CF9AE}" pid="13" name="_ReviewingToolsShownOnce">
    <vt:lpwstr/>
  </property>
  <property fmtid="{D5CDD505-2E9C-101B-9397-08002B2CF9AE}" pid="14" name="MSIP_Label_282828d4-d65e-4c38-b4f3-1feba3142871_Enabled">
    <vt:lpwstr>true</vt:lpwstr>
  </property>
  <property fmtid="{D5CDD505-2E9C-101B-9397-08002B2CF9AE}" pid="15" name="MSIP_Label_282828d4-d65e-4c38-b4f3-1feba3142871_SetDate">
    <vt:lpwstr>2022-12-22T06:18:46Z</vt:lpwstr>
  </property>
  <property fmtid="{D5CDD505-2E9C-101B-9397-08002B2CF9AE}" pid="16" name="MSIP_Label_282828d4-d65e-4c38-b4f3-1feba3142871_Method">
    <vt:lpwstr>Standard</vt:lpwstr>
  </property>
  <property fmtid="{D5CDD505-2E9C-101B-9397-08002B2CF9AE}" pid="17" name="MSIP_Label_282828d4-d65e-4c38-b4f3-1feba3142871_Name">
    <vt:lpwstr>OFFICIAL</vt:lpwstr>
  </property>
  <property fmtid="{D5CDD505-2E9C-101B-9397-08002B2CF9AE}" pid="18" name="MSIP_Label_282828d4-d65e-4c38-b4f3-1feba3142871_SiteId">
    <vt:lpwstr>51778d2a-a6ab-4c76-97dc-782782d65046</vt:lpwstr>
  </property>
  <property fmtid="{D5CDD505-2E9C-101B-9397-08002B2CF9AE}" pid="19" name="MSIP_Label_282828d4-d65e-4c38-b4f3-1feba3142871_ActionId">
    <vt:lpwstr>b54679a3-4fe8-4d5e-8d9e-3f7775c88de5</vt:lpwstr>
  </property>
  <property fmtid="{D5CDD505-2E9C-101B-9397-08002B2CF9AE}" pid="20" name="MSIP_Label_282828d4-d65e-4c38-b4f3-1feba3142871_ContentBits">
    <vt:lpwstr>0</vt:lpwstr>
  </property>
</Properties>
</file>